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cquisti ed alienazioni immobiliari, relative permute, appalti e concessioni che non siano previsti espressamente in atti fondamentali del Consiglio o che non ne costituiscano mera esecuzione e che, comunque, non rientrino nella ordinaria amministrazione di funzioni e servizi di competenza della Giunta, del Segretario Generale o di altri funziona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cquisti ed alienazioni immobiliari, relative permute, appalti e concessioni che non siano previsti espressamente in atti fondamentali del Consiglio o che non ne costituiscano mera esecuzione e che, comunque, non rientrino nella ordinaria amministrazione di funzioni e servizi di competenza della Giunta, del Segretario Generale o di altri funziona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