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di importo pari o superiore a 150.000 euro e inferiore a 1.000.000 euro mediante procedura negoziata previa valutazione di cinque operatori economici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di importo pari o superiore a 150.000 euro e inferiore a 1.000.000 euro mediante procedura negoziata previa valutazione di cinque operatori economici.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