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incarichi professionali sotto i 100,000 euro per la realizzazione di lavori pubblici -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incarichi professionali sotto i 100,000 euro per la realizzazione di lavori pubblici -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